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3109B" w14:textId="0E7AAB8C" w:rsidR="00312B69" w:rsidRPr="00F33B0D" w:rsidRDefault="0002640A">
      <w:pPr>
        <w:rPr>
          <w:b/>
          <w:bCs/>
        </w:rPr>
      </w:pPr>
      <w:r>
        <w:rPr>
          <w:b/>
          <w:bCs/>
        </w:rPr>
        <w:t xml:space="preserve">2026 </w:t>
      </w:r>
      <w:r w:rsidR="007737B4" w:rsidRPr="00F33B0D">
        <w:rPr>
          <w:b/>
          <w:bCs/>
        </w:rPr>
        <w:t>AUE Annual Conference</w:t>
      </w:r>
      <w:r>
        <w:rPr>
          <w:b/>
          <w:bCs/>
        </w:rPr>
        <w:t xml:space="preserve"> </w:t>
      </w:r>
      <w:r w:rsidR="007737B4" w:rsidRPr="00F33B0D">
        <w:rPr>
          <w:b/>
          <w:bCs/>
        </w:rPr>
        <w:t xml:space="preserve">– </w:t>
      </w:r>
      <w:r>
        <w:rPr>
          <w:b/>
          <w:bCs/>
        </w:rPr>
        <w:t xml:space="preserve">DAY </w:t>
      </w:r>
      <w:r w:rsidR="001739E7">
        <w:rPr>
          <w:b/>
          <w:bCs/>
        </w:rPr>
        <w:t>2</w:t>
      </w:r>
    </w:p>
    <w:p w14:paraId="5BFB50D7" w14:textId="7C11F2E2" w:rsidR="00F33B0D" w:rsidRPr="00F33B0D" w:rsidRDefault="0002640A">
      <w:pPr>
        <w:rPr>
          <w:b/>
          <w:bCs/>
        </w:rPr>
      </w:pPr>
      <w:r>
        <w:rPr>
          <w:b/>
          <w:bCs/>
        </w:rPr>
        <w:t xml:space="preserve">WORKSHOP </w:t>
      </w:r>
      <w:r w:rsidR="00F33B0D">
        <w:rPr>
          <w:b/>
          <w:bCs/>
        </w:rPr>
        <w:t>SESSION</w:t>
      </w:r>
      <w:r w:rsidR="00F33B0D" w:rsidRPr="00F33B0D">
        <w:rPr>
          <w:b/>
          <w:bCs/>
        </w:rPr>
        <w:t xml:space="preserve"> </w:t>
      </w:r>
      <w:r w:rsidR="001739E7">
        <w:rPr>
          <w:b/>
          <w:bCs/>
        </w:rPr>
        <w:t>2</w:t>
      </w:r>
      <w:r>
        <w:rPr>
          <w:b/>
          <w:bCs/>
        </w:rPr>
        <w:t>A</w:t>
      </w:r>
    </w:p>
    <w:p w14:paraId="3D39E1AB" w14:textId="49719F4E" w:rsidR="00F33B0D" w:rsidRPr="00F13D7A" w:rsidRDefault="00F33B0D">
      <w:pPr>
        <w:rPr>
          <w:i/>
          <w:iCs/>
        </w:rPr>
      </w:pPr>
      <w:r w:rsidRPr="00F33B0D">
        <w:rPr>
          <w:b/>
          <w:bCs/>
        </w:rPr>
        <w:t>Title</w:t>
      </w:r>
      <w:r>
        <w:t xml:space="preserve">: </w:t>
      </w:r>
      <w:r w:rsidR="001739E7" w:rsidRPr="001739E7">
        <w:rPr>
          <w:i/>
          <w:iCs/>
        </w:rPr>
        <w:t>The Future of HVAC Maintenance - Connected Services Driving Decarbonisation &amp; Energy Efficiency</w:t>
      </w:r>
      <w:r w:rsidRPr="00F13D7A">
        <w:rPr>
          <w:i/>
          <w:iCs/>
        </w:rPr>
        <w:t>.</w:t>
      </w:r>
      <w:r w:rsidR="00DD35CF" w:rsidRPr="00DD35CF">
        <w:rPr>
          <w:noProof/>
        </w:rPr>
        <w:t xml:space="preserve"> </w:t>
      </w:r>
    </w:p>
    <w:p w14:paraId="580492C3" w14:textId="2F9BD0C1" w:rsidR="00F33B0D" w:rsidRDefault="00F33B0D">
      <w:r w:rsidRPr="00F33B0D">
        <w:rPr>
          <w:b/>
          <w:bCs/>
        </w:rPr>
        <w:t>Speaker</w:t>
      </w:r>
      <w:r>
        <w:t xml:space="preserve">: </w:t>
      </w:r>
      <w:r w:rsidR="001739E7" w:rsidRPr="001739E7">
        <w:t xml:space="preserve">Mark </w:t>
      </w:r>
      <w:proofErr w:type="spellStart"/>
      <w:r w:rsidR="001739E7" w:rsidRPr="001739E7">
        <w:t>Canham</w:t>
      </w:r>
      <w:proofErr w:type="spellEnd"/>
      <w:r w:rsidR="001739E7" w:rsidRPr="001739E7">
        <w:t>, Service Director, Daikin Applied (UK) Ltd</w:t>
      </w:r>
      <w:r>
        <w:t xml:space="preserve">. </w:t>
      </w:r>
    </w:p>
    <w:p w14:paraId="622F8C73" w14:textId="77777777" w:rsidR="006A6D5E" w:rsidRDefault="00F33B0D" w:rsidP="006A6D5E">
      <w:r w:rsidRPr="00F33B0D">
        <w:rPr>
          <w:b/>
          <w:bCs/>
        </w:rPr>
        <w:t>Summary</w:t>
      </w:r>
      <w:r>
        <w:t xml:space="preserve">:  </w:t>
      </w:r>
      <w:r w:rsidR="006A6D5E">
        <w:t xml:space="preserve">This session will explore how Remote Monitoring and intelligent HVAC service strategies are quietly transforming the energy performance of commercial and industrial facilities across the UK. Leveraging a combination of data-driven tools, including Daikin on Site (DoS), our advanced remote monitoring platform, Plant Manager to manage your entire plantroom across different brands, and CPPA to model retrofits and </w:t>
      </w:r>
      <w:proofErr w:type="gramStart"/>
      <w:r w:rsidR="006A6D5E">
        <w:t>replacements  -</w:t>
      </w:r>
      <w:proofErr w:type="gramEnd"/>
      <w:r w:rsidR="006A6D5E">
        <w:t xml:space="preserve"> we’ll showcase how predictive analytics, and remote diagnostics enable dramatic reductions in energy waste, carbon emissions, and operational risk.</w:t>
      </w:r>
    </w:p>
    <w:p w14:paraId="02FDBF14" w14:textId="14C98A94" w:rsidR="00F33B0D" w:rsidRDefault="006A6D5E" w:rsidP="006A6D5E">
      <w:r>
        <w:t>With a strong focus on data-driven sustainability, this session will explain how digital service models are changing HVAC from reactive maintenance to proactive, insight-led optimisation, keeping HVAC systems running at peak performance while helping meet Net Zero goals</w:t>
      </w:r>
      <w:r w:rsidR="00F33B0D">
        <w:t xml:space="preserve">. </w:t>
      </w:r>
    </w:p>
    <w:p w14:paraId="71E929D4" w14:textId="23B227D1" w:rsidR="00F33B0D" w:rsidRDefault="00F33B0D"/>
    <w:p w14:paraId="2966538F" w14:textId="78CDA6F0" w:rsidR="00F33B0D" w:rsidRDefault="0002640A">
      <w:pPr>
        <w:rPr>
          <w:b/>
          <w:bCs/>
        </w:rPr>
      </w:pPr>
      <w:r>
        <w:rPr>
          <w:b/>
          <w:bCs/>
        </w:rPr>
        <w:t xml:space="preserve">WORKSHOP </w:t>
      </w:r>
      <w:r w:rsidR="00F33B0D" w:rsidRPr="00F33B0D">
        <w:rPr>
          <w:b/>
          <w:bCs/>
        </w:rPr>
        <w:t xml:space="preserve">SESSION </w:t>
      </w:r>
      <w:r w:rsidR="001739E7">
        <w:rPr>
          <w:b/>
          <w:bCs/>
        </w:rPr>
        <w:t>2B</w:t>
      </w:r>
    </w:p>
    <w:p w14:paraId="08163E16" w14:textId="71AE0847" w:rsidR="00F33B0D" w:rsidRDefault="00F33B0D">
      <w:r>
        <w:rPr>
          <w:b/>
          <w:bCs/>
        </w:rPr>
        <w:t xml:space="preserve">Title: </w:t>
      </w:r>
      <w:r w:rsidR="001739E7" w:rsidRPr="001739E7">
        <w:rPr>
          <w:i/>
          <w:iCs/>
        </w:rPr>
        <w:t xml:space="preserve">Electrical </w:t>
      </w:r>
      <w:proofErr w:type="spellStart"/>
      <w:r w:rsidR="001739E7" w:rsidRPr="001739E7">
        <w:rPr>
          <w:i/>
          <w:iCs/>
        </w:rPr>
        <w:t>Dutyholders</w:t>
      </w:r>
      <w:proofErr w:type="spellEnd"/>
      <w:r w:rsidR="001739E7" w:rsidRPr="001739E7">
        <w:rPr>
          <w:i/>
          <w:iCs/>
        </w:rPr>
        <w:t>: What Every University Engineer Must Know – Because Ignorance is No Defence</w:t>
      </w:r>
      <w:r w:rsidRPr="00F13D7A">
        <w:rPr>
          <w:i/>
          <w:iCs/>
        </w:rPr>
        <w:t>.</w:t>
      </w:r>
    </w:p>
    <w:p w14:paraId="3B706F2E" w14:textId="78CA7065" w:rsidR="00F33B0D" w:rsidRDefault="00F33B0D">
      <w:r w:rsidRPr="00F33B0D">
        <w:rPr>
          <w:b/>
          <w:bCs/>
        </w:rPr>
        <w:t>Speaker</w:t>
      </w:r>
      <w:r>
        <w:t xml:space="preserve">: </w:t>
      </w:r>
      <w:r w:rsidR="001739E7" w:rsidRPr="001739E7">
        <w:t xml:space="preserve">Ian </w:t>
      </w:r>
      <w:proofErr w:type="spellStart"/>
      <w:r w:rsidR="001739E7" w:rsidRPr="001739E7">
        <w:t>Carnall</w:t>
      </w:r>
      <w:proofErr w:type="spellEnd"/>
      <w:r w:rsidR="001739E7" w:rsidRPr="001739E7">
        <w:t>, Managing Director, Guardian Electrical Compliance – PTSG &amp; Dr Lee Wood, Associate Director of Facilities, Maintenance &amp; Compliance, University of Manchester</w:t>
      </w:r>
      <w:r>
        <w:t>.</w:t>
      </w:r>
    </w:p>
    <w:p w14:paraId="3CD870E3" w14:textId="1261F405" w:rsidR="00F33B0D" w:rsidRDefault="00F33B0D" w:rsidP="001739E7">
      <w:r w:rsidRPr="00F33B0D">
        <w:rPr>
          <w:b/>
          <w:bCs/>
        </w:rPr>
        <w:t>Summary</w:t>
      </w:r>
      <w:r>
        <w:t xml:space="preserve">: </w:t>
      </w:r>
      <w:r w:rsidR="006A6D5E" w:rsidRPr="006A6D5E">
        <w:t xml:space="preserve">This session introduces university engineers to their legal and practical responsibilities as </w:t>
      </w:r>
      <w:proofErr w:type="spellStart"/>
      <w:r w:rsidR="006A6D5E" w:rsidRPr="006A6D5E">
        <w:t>Dutyholders</w:t>
      </w:r>
      <w:proofErr w:type="spellEnd"/>
      <w:r w:rsidR="006A6D5E" w:rsidRPr="006A6D5E">
        <w:t xml:space="preserve"> under the Electricity at Work Regulations 1989. It explains how accountability is determined, the importance of Safe Systems of Work, competence, and maintaining safe electrical environments across university estates. The session also covers the legal requirement to inspect, test and maintain records, highlighting how Effective Monitoring provides both safety assurance and defence in the event of an HSE investigation. Real-world examples and practical steps help attendees understand how </w:t>
      </w:r>
      <w:proofErr w:type="spellStart"/>
      <w:r w:rsidR="006A6D5E" w:rsidRPr="006A6D5E">
        <w:t>Dutyholder</w:t>
      </w:r>
      <w:proofErr w:type="spellEnd"/>
      <w:r w:rsidR="006A6D5E" w:rsidRPr="006A6D5E">
        <w:t xml:space="preserve"> responsibilities apply in a university setting</w:t>
      </w:r>
      <w:r w:rsidR="0002640A">
        <w:t>.</w:t>
      </w:r>
    </w:p>
    <w:p w14:paraId="43641295" w14:textId="7C72AE98" w:rsidR="0002640A" w:rsidRDefault="0002640A">
      <w:pPr>
        <w:rPr>
          <w:b/>
          <w:bCs/>
        </w:rPr>
      </w:pPr>
    </w:p>
    <w:p w14:paraId="4628BA62" w14:textId="77777777" w:rsidR="006A6D5E" w:rsidRDefault="006A6D5E">
      <w:pPr>
        <w:rPr>
          <w:b/>
          <w:bCs/>
        </w:rPr>
      </w:pPr>
      <w:r>
        <w:rPr>
          <w:b/>
          <w:bCs/>
        </w:rPr>
        <w:br w:type="page"/>
      </w:r>
    </w:p>
    <w:p w14:paraId="33E45A7F" w14:textId="082D1FC7" w:rsidR="00F33B0D" w:rsidRPr="00F33B0D" w:rsidRDefault="0002640A">
      <w:pPr>
        <w:rPr>
          <w:b/>
          <w:bCs/>
        </w:rPr>
      </w:pPr>
      <w:r>
        <w:rPr>
          <w:b/>
          <w:bCs/>
        </w:rPr>
        <w:lastRenderedPageBreak/>
        <w:t xml:space="preserve">WORKSHOP </w:t>
      </w:r>
      <w:r w:rsidR="00F33B0D" w:rsidRPr="00F33B0D">
        <w:rPr>
          <w:b/>
          <w:bCs/>
        </w:rPr>
        <w:t xml:space="preserve">SESSION </w:t>
      </w:r>
      <w:r w:rsidR="001739E7">
        <w:rPr>
          <w:b/>
          <w:bCs/>
        </w:rPr>
        <w:t>2</w:t>
      </w:r>
      <w:r>
        <w:rPr>
          <w:b/>
          <w:bCs/>
        </w:rPr>
        <w:t>C</w:t>
      </w:r>
    </w:p>
    <w:p w14:paraId="0A14F44D" w14:textId="53B264D5" w:rsidR="00F33B0D" w:rsidRPr="00F13D7A" w:rsidRDefault="00F33B0D">
      <w:pPr>
        <w:rPr>
          <w:i/>
          <w:iCs/>
        </w:rPr>
      </w:pPr>
      <w:r w:rsidRPr="00EA0723">
        <w:rPr>
          <w:b/>
          <w:bCs/>
        </w:rPr>
        <w:t>Title</w:t>
      </w:r>
      <w:r>
        <w:t xml:space="preserve">: </w:t>
      </w:r>
      <w:r w:rsidR="001739E7" w:rsidRPr="001739E7">
        <w:rPr>
          <w:i/>
          <w:iCs/>
        </w:rPr>
        <w:t>From Targets to Action: Turning ESG &amp; Net Zero Ambitions into Measurable Progress in University Estates</w:t>
      </w:r>
      <w:r w:rsidR="00EA0723" w:rsidRPr="00F13D7A">
        <w:rPr>
          <w:i/>
          <w:iCs/>
        </w:rPr>
        <w:t>.</w:t>
      </w:r>
    </w:p>
    <w:p w14:paraId="629989AA" w14:textId="1B526E56" w:rsidR="00EA0723" w:rsidRDefault="00EA0723">
      <w:r w:rsidRPr="00EA0723">
        <w:rPr>
          <w:b/>
          <w:bCs/>
        </w:rPr>
        <w:t>Speaker</w:t>
      </w:r>
      <w:r>
        <w:t xml:space="preserve">: </w:t>
      </w:r>
      <w:r w:rsidR="001739E7" w:rsidRPr="001739E7">
        <w:t xml:space="preserve">Alia </w:t>
      </w:r>
      <w:proofErr w:type="spellStart"/>
      <w:r w:rsidR="001739E7" w:rsidRPr="001739E7">
        <w:t>Alhirsi</w:t>
      </w:r>
      <w:proofErr w:type="spellEnd"/>
      <w:r w:rsidR="001739E7" w:rsidRPr="001739E7">
        <w:t xml:space="preserve">, Account Executive - Education, </w:t>
      </w:r>
      <w:proofErr w:type="spellStart"/>
      <w:r w:rsidR="001739E7" w:rsidRPr="001739E7">
        <w:t>Micad</w:t>
      </w:r>
      <w:proofErr w:type="spellEnd"/>
      <w:r>
        <w:t>.</w:t>
      </w:r>
    </w:p>
    <w:p w14:paraId="6FAA2CA7" w14:textId="77777777" w:rsidR="006A6D5E" w:rsidRDefault="00EA0723" w:rsidP="006A6D5E">
      <w:r w:rsidRPr="00EA0723">
        <w:rPr>
          <w:b/>
          <w:bCs/>
        </w:rPr>
        <w:t>Summary</w:t>
      </w:r>
      <w:r>
        <w:t xml:space="preserve">: </w:t>
      </w:r>
      <w:r w:rsidR="006A6D5E">
        <w:t>Sustainability and Net Zero are now core pillars of UK university strategy, shaping estates plans, investment decisions and institutional reputation. Yet for many universities, delivering against ESG commitments remains challenging. Ageing and complex estates, rising energy costs, constrained capital budgets and the operational disruption of retrofitting all create tension between ambition and delivery.</w:t>
      </w:r>
    </w:p>
    <w:p w14:paraId="235AB64B" w14:textId="3EA7C605" w:rsidR="00DD35CF" w:rsidRDefault="006A6D5E" w:rsidP="006A6D5E">
      <w:r>
        <w:t xml:space="preserve">This session explores how universities can bridge the gap between ESG reporting and day-to-day estates decision-making. Drawing parallels with how the NHS uses ERIC data, it considers the role of HESA energy and emissions data in higher education — highlighting both its value for benchmarking and its limitations as an annual, retrospective </w:t>
      </w:r>
      <w:proofErr w:type="gramStart"/>
      <w:r>
        <w:t>view.</w:t>
      </w:r>
      <w:r w:rsidR="00EA0723" w:rsidRPr="00EA0723">
        <w:t>.</w:t>
      </w:r>
      <w:proofErr w:type="gramEnd"/>
    </w:p>
    <w:p w14:paraId="1DC0EB97" w14:textId="77777777" w:rsidR="002D564A" w:rsidRDefault="002D564A"/>
    <w:p w14:paraId="0C729455" w14:textId="5AFDCC83" w:rsidR="001739E7" w:rsidRPr="00F33B0D" w:rsidRDefault="001739E7" w:rsidP="001739E7">
      <w:pPr>
        <w:rPr>
          <w:b/>
          <w:bCs/>
        </w:rPr>
      </w:pPr>
      <w:r>
        <w:rPr>
          <w:b/>
          <w:bCs/>
        </w:rPr>
        <w:t>WORKSHOP SESSION</w:t>
      </w:r>
      <w:r w:rsidRPr="00F33B0D">
        <w:rPr>
          <w:b/>
          <w:bCs/>
        </w:rPr>
        <w:t xml:space="preserve"> </w:t>
      </w:r>
      <w:r>
        <w:rPr>
          <w:b/>
          <w:bCs/>
        </w:rPr>
        <w:t>3</w:t>
      </w:r>
      <w:r>
        <w:rPr>
          <w:b/>
          <w:bCs/>
        </w:rPr>
        <w:t>A</w:t>
      </w:r>
    </w:p>
    <w:p w14:paraId="22B13255" w14:textId="5E0EC202" w:rsidR="001739E7" w:rsidRPr="00F13D7A" w:rsidRDefault="001739E7" w:rsidP="001739E7">
      <w:pPr>
        <w:rPr>
          <w:i/>
          <w:iCs/>
        </w:rPr>
      </w:pPr>
      <w:r w:rsidRPr="00F33B0D">
        <w:rPr>
          <w:b/>
          <w:bCs/>
        </w:rPr>
        <w:t>Title</w:t>
      </w:r>
      <w:r>
        <w:t xml:space="preserve">: </w:t>
      </w:r>
      <w:r w:rsidRPr="001739E7">
        <w:rPr>
          <w:i/>
          <w:iCs/>
        </w:rPr>
        <w:t>On-site Generation and Utilisation’ covering CHP, BESS, Solar, and Gas to Power</w:t>
      </w:r>
      <w:r w:rsidRPr="00F13D7A">
        <w:rPr>
          <w:i/>
          <w:iCs/>
        </w:rPr>
        <w:t>.</w:t>
      </w:r>
      <w:r w:rsidRPr="00DD35CF">
        <w:rPr>
          <w:noProof/>
        </w:rPr>
        <w:t xml:space="preserve"> </w:t>
      </w:r>
    </w:p>
    <w:p w14:paraId="02E4BC3A" w14:textId="57F9D901" w:rsidR="001739E7" w:rsidRDefault="001739E7" w:rsidP="001739E7">
      <w:r w:rsidRPr="00F33B0D">
        <w:rPr>
          <w:b/>
          <w:bCs/>
        </w:rPr>
        <w:t>Speaker</w:t>
      </w:r>
      <w:r>
        <w:t xml:space="preserve">: </w:t>
      </w:r>
      <w:r w:rsidRPr="001739E7">
        <w:t>Garry Wilson, Business Development, DCC Energy GB</w:t>
      </w:r>
      <w:r>
        <w:t xml:space="preserve">. </w:t>
      </w:r>
    </w:p>
    <w:p w14:paraId="1C15AC47" w14:textId="304CE3A0" w:rsidR="001739E7" w:rsidRDefault="001739E7" w:rsidP="001739E7">
      <w:r w:rsidRPr="00F33B0D">
        <w:rPr>
          <w:b/>
          <w:bCs/>
        </w:rPr>
        <w:t>Summary</w:t>
      </w:r>
      <w:r>
        <w:t xml:space="preserve">:  </w:t>
      </w:r>
      <w:r w:rsidR="006A6D5E" w:rsidRPr="006A6D5E">
        <w:t>This session will explore how integrated on-site energy solutions including CHP, BESS, Solar and Gas-to-Power are helping businesses improve resilience, reduce energy costs and support carbon reduction targets. The discussion will cover how these technologies can work together to create more efficient and reliable energy strategies across commercial and industrial environments, while also addressing the growing pressures around sustainability, energy security and operational performance. Real world project insight and practical applications across the DCC Energy portfolio will also be discussed</w:t>
      </w:r>
      <w:r>
        <w:t xml:space="preserve">. </w:t>
      </w:r>
    </w:p>
    <w:p w14:paraId="067EE3E9" w14:textId="77777777" w:rsidR="001739E7" w:rsidRDefault="001739E7" w:rsidP="001739E7"/>
    <w:p w14:paraId="4CFA0A08" w14:textId="4CF454A3" w:rsidR="001739E7" w:rsidRDefault="001739E7" w:rsidP="001739E7">
      <w:pPr>
        <w:rPr>
          <w:b/>
          <w:bCs/>
        </w:rPr>
      </w:pPr>
      <w:r>
        <w:rPr>
          <w:b/>
          <w:bCs/>
        </w:rPr>
        <w:t xml:space="preserve">WORKSHOP </w:t>
      </w:r>
      <w:r w:rsidRPr="00F33B0D">
        <w:rPr>
          <w:b/>
          <w:bCs/>
        </w:rPr>
        <w:t xml:space="preserve">SESSION </w:t>
      </w:r>
      <w:r>
        <w:rPr>
          <w:b/>
          <w:bCs/>
        </w:rPr>
        <w:t>3</w:t>
      </w:r>
      <w:r>
        <w:rPr>
          <w:b/>
          <w:bCs/>
        </w:rPr>
        <w:t>B</w:t>
      </w:r>
    </w:p>
    <w:p w14:paraId="2F5FAB13" w14:textId="35D76AC2" w:rsidR="001739E7" w:rsidRDefault="001739E7" w:rsidP="001739E7">
      <w:r>
        <w:rPr>
          <w:b/>
          <w:bCs/>
        </w:rPr>
        <w:t xml:space="preserve">Title: </w:t>
      </w:r>
      <w:r w:rsidRPr="001739E7">
        <w:rPr>
          <w:i/>
          <w:iCs/>
        </w:rPr>
        <w:t>BS 5266:2025 Part 1 Emergency lighting of premises - Code of practice UPDATES</w:t>
      </w:r>
      <w:r w:rsidRPr="00F13D7A">
        <w:rPr>
          <w:i/>
          <w:iCs/>
        </w:rPr>
        <w:t>.</w:t>
      </w:r>
    </w:p>
    <w:p w14:paraId="0432CD66" w14:textId="2BF5E668" w:rsidR="001739E7" w:rsidRDefault="001739E7" w:rsidP="001739E7">
      <w:r w:rsidRPr="00F33B0D">
        <w:rPr>
          <w:b/>
          <w:bCs/>
        </w:rPr>
        <w:t>Speaker</w:t>
      </w:r>
      <w:r>
        <w:t xml:space="preserve">: </w:t>
      </w:r>
      <w:r w:rsidRPr="001739E7">
        <w:t xml:space="preserve">Matt </w:t>
      </w:r>
      <w:proofErr w:type="spellStart"/>
      <w:r w:rsidRPr="001739E7">
        <w:t>Sherran</w:t>
      </w:r>
      <w:proofErr w:type="spellEnd"/>
      <w:r w:rsidRPr="001739E7">
        <w:t>, Area Sales Manager, P4 Emergency Lighting Ltd</w:t>
      </w:r>
      <w:r>
        <w:t>.</w:t>
      </w:r>
    </w:p>
    <w:p w14:paraId="2BFE7F33" w14:textId="77777777" w:rsidR="001739E7" w:rsidRDefault="001739E7" w:rsidP="001739E7">
      <w:r w:rsidRPr="00F33B0D">
        <w:rPr>
          <w:b/>
          <w:bCs/>
        </w:rPr>
        <w:t>Summary</w:t>
      </w:r>
      <w:r>
        <w:t>: TBC.</w:t>
      </w:r>
    </w:p>
    <w:p w14:paraId="5D628365" w14:textId="77777777" w:rsidR="001739E7" w:rsidRDefault="001739E7" w:rsidP="001739E7">
      <w:pPr>
        <w:rPr>
          <w:b/>
          <w:bCs/>
        </w:rPr>
      </w:pPr>
    </w:p>
    <w:p w14:paraId="7A28C6B8" w14:textId="77777777" w:rsidR="006A6D5E" w:rsidRDefault="006A6D5E">
      <w:pPr>
        <w:rPr>
          <w:b/>
          <w:bCs/>
        </w:rPr>
      </w:pPr>
      <w:r>
        <w:rPr>
          <w:b/>
          <w:bCs/>
        </w:rPr>
        <w:br w:type="page"/>
      </w:r>
    </w:p>
    <w:p w14:paraId="2757988D" w14:textId="337066E9" w:rsidR="001739E7" w:rsidRPr="00F33B0D" w:rsidRDefault="001739E7" w:rsidP="001739E7">
      <w:pPr>
        <w:rPr>
          <w:b/>
          <w:bCs/>
        </w:rPr>
      </w:pPr>
      <w:r>
        <w:rPr>
          <w:b/>
          <w:bCs/>
        </w:rPr>
        <w:lastRenderedPageBreak/>
        <w:t xml:space="preserve">WORKSHOP </w:t>
      </w:r>
      <w:r w:rsidRPr="00F33B0D">
        <w:rPr>
          <w:b/>
          <w:bCs/>
        </w:rPr>
        <w:t xml:space="preserve">SESSION </w:t>
      </w:r>
      <w:r>
        <w:rPr>
          <w:b/>
          <w:bCs/>
        </w:rPr>
        <w:t>3</w:t>
      </w:r>
      <w:r>
        <w:rPr>
          <w:b/>
          <w:bCs/>
        </w:rPr>
        <w:t>C</w:t>
      </w:r>
    </w:p>
    <w:p w14:paraId="66843169" w14:textId="2B96589D" w:rsidR="001739E7" w:rsidRPr="00F13D7A" w:rsidRDefault="001739E7" w:rsidP="001739E7">
      <w:pPr>
        <w:rPr>
          <w:i/>
          <w:iCs/>
        </w:rPr>
      </w:pPr>
      <w:r w:rsidRPr="00EA0723">
        <w:rPr>
          <w:b/>
          <w:bCs/>
        </w:rPr>
        <w:t>Title</w:t>
      </w:r>
      <w:r>
        <w:t xml:space="preserve">: </w:t>
      </w:r>
      <w:r w:rsidRPr="001739E7">
        <w:rPr>
          <w:i/>
          <w:iCs/>
        </w:rPr>
        <w:t>AI for Estates: Closing the Campus Performance Gap Using Integrated Estate Data</w:t>
      </w:r>
      <w:r w:rsidRPr="00F13D7A">
        <w:rPr>
          <w:i/>
          <w:iCs/>
        </w:rPr>
        <w:t>.</w:t>
      </w:r>
    </w:p>
    <w:p w14:paraId="78688154" w14:textId="224204A0" w:rsidR="001739E7" w:rsidRDefault="001739E7" w:rsidP="001739E7">
      <w:r w:rsidRPr="00EA0723">
        <w:rPr>
          <w:b/>
          <w:bCs/>
        </w:rPr>
        <w:t>Speaker</w:t>
      </w:r>
      <w:r>
        <w:t xml:space="preserve">: </w:t>
      </w:r>
      <w:r w:rsidR="006A6D5E">
        <w:t>Tr</w:t>
      </w:r>
      <w:r w:rsidRPr="001739E7">
        <w:t xml:space="preserve">evor Payne, Former Director of Estates, University of Oxford &amp; Interim Chief Engineer, NHS New Hospitals Programme &amp; Shrikant Sharma, Founder and CEO, </w:t>
      </w:r>
      <w:proofErr w:type="spellStart"/>
      <w:r w:rsidRPr="001739E7">
        <w:t>SmartViz</w:t>
      </w:r>
      <w:proofErr w:type="spellEnd"/>
      <w:r>
        <w:t>.</w:t>
      </w:r>
    </w:p>
    <w:p w14:paraId="3BB457FA" w14:textId="77777777" w:rsidR="006A6D5E" w:rsidRDefault="001739E7" w:rsidP="006A6D5E">
      <w:r w:rsidRPr="00EA0723">
        <w:rPr>
          <w:b/>
          <w:bCs/>
        </w:rPr>
        <w:t>Summary</w:t>
      </w:r>
      <w:r>
        <w:t xml:space="preserve">: </w:t>
      </w:r>
      <w:r w:rsidR="006A6D5E">
        <w:t>This interactive session explores how universities can move beyond dashboards and reports towards AI-supported decision-making for estate management.</w:t>
      </w:r>
    </w:p>
    <w:p w14:paraId="600F9BDC" w14:textId="77777777" w:rsidR="006A6D5E" w:rsidRDefault="006A6D5E" w:rsidP="006A6D5E">
      <w:r>
        <w:t>Drawing on practical experience from complex university estates and real-world deployments, the session will include:</w:t>
      </w:r>
    </w:p>
    <w:p w14:paraId="62DA3897" w14:textId="77777777" w:rsidR="006A6D5E" w:rsidRDefault="006A6D5E" w:rsidP="006A6D5E">
      <w:r>
        <w:t>Live demonstrations of how integrated estate data can reveal hidden inefficiencies in space and energy performance</w:t>
      </w:r>
    </w:p>
    <w:p w14:paraId="68B9E6C6" w14:textId="77777777" w:rsidR="006A6D5E" w:rsidRDefault="006A6D5E" w:rsidP="006A6D5E">
      <w:r>
        <w:t>Interactive discussion with participants on real estate challenges facing universities today</w:t>
      </w:r>
    </w:p>
    <w:p w14:paraId="3ED725AD" w14:textId="77777777" w:rsidR="006A6D5E" w:rsidRDefault="006A6D5E" w:rsidP="006A6D5E">
      <w:r>
        <w:t>Exploration of how AI and digital twin approaches can help estates teams understand how buildings are actually used and identify opportunities to improve performance</w:t>
      </w:r>
    </w:p>
    <w:p w14:paraId="5C365AD7" w14:textId="03035F6C" w:rsidR="001739E7" w:rsidRDefault="006A6D5E" w:rsidP="006A6D5E">
      <w:r>
        <w:t>Participants will be invited to reflect on their own estate data challenges and explore practical approaches to integrating building data to support net-zero strategies, operational efficiency and estate optimisation.</w:t>
      </w:r>
    </w:p>
    <w:p w14:paraId="0AA58F2E" w14:textId="77777777" w:rsidR="001739E7" w:rsidRDefault="001739E7"/>
    <w:p w14:paraId="305CF9C4" w14:textId="23C202E5" w:rsidR="002D564A" w:rsidRDefault="002D564A">
      <w:r>
        <w:t>================================</w:t>
      </w:r>
    </w:p>
    <w:p w14:paraId="03251730" w14:textId="7D22DE1F" w:rsidR="002D564A" w:rsidRPr="002D564A" w:rsidRDefault="002D564A" w:rsidP="002D564A">
      <w:r w:rsidRPr="002D564A">
        <w:t>If you’d like to change your workshop selection, select </w:t>
      </w:r>
      <w:r w:rsidRPr="002D564A">
        <w:rPr>
          <w:b/>
          <w:bCs/>
        </w:rPr>
        <w:t>“Already Registered”</w:t>
      </w:r>
      <w:r w:rsidRPr="002D564A">
        <w:t> option underneath the </w:t>
      </w:r>
      <w:r w:rsidRPr="002D564A">
        <w:rPr>
          <w:b/>
          <w:bCs/>
        </w:rPr>
        <w:t>“Register Now”</w:t>
      </w:r>
      <w:r w:rsidRPr="002D564A">
        <w:t> button.</w:t>
      </w:r>
    </w:p>
    <w:p w14:paraId="40F742FC" w14:textId="77777777" w:rsidR="002D564A" w:rsidRPr="002D564A" w:rsidRDefault="002D564A" w:rsidP="002D564A">
      <w:r w:rsidRPr="002D564A">
        <w:t>You will require the email number that you registered with, and the confirmation number of the booking, both details can be found within the confirmation email you received when you registered. Once you are logged in with your details you will find a summary of your registration. Scroll to the very bottom of the page and select the </w:t>
      </w:r>
      <w:r w:rsidRPr="002D564A">
        <w:rPr>
          <w:b/>
          <w:bCs/>
        </w:rPr>
        <w:t>“Modify Registration”</w:t>
      </w:r>
      <w:r w:rsidRPr="002D564A">
        <w:t> button.</w:t>
      </w:r>
    </w:p>
    <w:p w14:paraId="561661C3" w14:textId="59B8233F" w:rsidR="002D564A" w:rsidRPr="0002640A" w:rsidRDefault="002D564A">
      <w:r w:rsidRPr="002D564A">
        <w:t>Once you have finished making any amendments, you must then continue to click </w:t>
      </w:r>
      <w:r w:rsidRPr="002D564A">
        <w:rPr>
          <w:b/>
          <w:bCs/>
        </w:rPr>
        <w:t>“Next”</w:t>
      </w:r>
      <w:r w:rsidRPr="002D564A">
        <w:t> at the bottom of the page through the whole booking until you reach the order summary page and then you need to select </w:t>
      </w:r>
      <w:r w:rsidRPr="002D564A">
        <w:rPr>
          <w:b/>
          <w:bCs/>
        </w:rPr>
        <w:t>“Submit”</w:t>
      </w:r>
      <w:r w:rsidRPr="002D564A">
        <w:t>. It is extremely important that you click through until you reach “Submit” otherwise any changes that you have made to the booking will not be saved.</w:t>
      </w:r>
    </w:p>
    <w:sectPr w:rsidR="002D564A" w:rsidRPr="000264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B4"/>
    <w:rsid w:val="0002640A"/>
    <w:rsid w:val="00143F49"/>
    <w:rsid w:val="001739E7"/>
    <w:rsid w:val="0027791F"/>
    <w:rsid w:val="0028667A"/>
    <w:rsid w:val="002D564A"/>
    <w:rsid w:val="00312B69"/>
    <w:rsid w:val="003373AB"/>
    <w:rsid w:val="00397581"/>
    <w:rsid w:val="005D1BF4"/>
    <w:rsid w:val="0069131D"/>
    <w:rsid w:val="006A6D5E"/>
    <w:rsid w:val="007737B4"/>
    <w:rsid w:val="009119F6"/>
    <w:rsid w:val="009916B5"/>
    <w:rsid w:val="009E0759"/>
    <w:rsid w:val="00A359C6"/>
    <w:rsid w:val="00D169B1"/>
    <w:rsid w:val="00D40A11"/>
    <w:rsid w:val="00D56754"/>
    <w:rsid w:val="00DD35CF"/>
    <w:rsid w:val="00EA0723"/>
    <w:rsid w:val="00F13D7A"/>
    <w:rsid w:val="00F33B0D"/>
    <w:rsid w:val="00F82F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F1D65"/>
  <w15:chartTrackingRefBased/>
  <w15:docId w15:val="{5FE3674B-6C0F-4AE6-A464-06473FD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3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3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3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3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3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3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3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3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3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7B4"/>
    <w:rPr>
      <w:rFonts w:eastAsiaTheme="majorEastAsia" w:cstheme="majorBidi"/>
      <w:color w:val="272727" w:themeColor="text1" w:themeTint="D8"/>
    </w:rPr>
  </w:style>
  <w:style w:type="paragraph" w:styleId="Title">
    <w:name w:val="Title"/>
    <w:basedOn w:val="Normal"/>
    <w:next w:val="Normal"/>
    <w:link w:val="TitleChar"/>
    <w:uiPriority w:val="10"/>
    <w:qFormat/>
    <w:rsid w:val="00773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7B4"/>
    <w:pPr>
      <w:spacing w:before="160"/>
      <w:jc w:val="center"/>
    </w:pPr>
    <w:rPr>
      <w:i/>
      <w:iCs/>
      <w:color w:val="404040" w:themeColor="text1" w:themeTint="BF"/>
    </w:rPr>
  </w:style>
  <w:style w:type="character" w:customStyle="1" w:styleId="QuoteChar">
    <w:name w:val="Quote Char"/>
    <w:basedOn w:val="DefaultParagraphFont"/>
    <w:link w:val="Quote"/>
    <w:uiPriority w:val="29"/>
    <w:rsid w:val="007737B4"/>
    <w:rPr>
      <w:i/>
      <w:iCs/>
      <w:color w:val="404040" w:themeColor="text1" w:themeTint="BF"/>
    </w:rPr>
  </w:style>
  <w:style w:type="paragraph" w:styleId="ListParagraph">
    <w:name w:val="List Paragraph"/>
    <w:basedOn w:val="Normal"/>
    <w:uiPriority w:val="34"/>
    <w:qFormat/>
    <w:rsid w:val="007737B4"/>
    <w:pPr>
      <w:ind w:left="720"/>
      <w:contextualSpacing/>
    </w:pPr>
  </w:style>
  <w:style w:type="character" w:styleId="IntenseEmphasis">
    <w:name w:val="Intense Emphasis"/>
    <w:basedOn w:val="DefaultParagraphFont"/>
    <w:uiPriority w:val="21"/>
    <w:qFormat/>
    <w:rsid w:val="007737B4"/>
    <w:rPr>
      <w:i/>
      <w:iCs/>
      <w:color w:val="0F4761" w:themeColor="accent1" w:themeShade="BF"/>
    </w:rPr>
  </w:style>
  <w:style w:type="paragraph" w:styleId="IntenseQuote">
    <w:name w:val="Intense Quote"/>
    <w:basedOn w:val="Normal"/>
    <w:next w:val="Normal"/>
    <w:link w:val="IntenseQuoteChar"/>
    <w:uiPriority w:val="30"/>
    <w:qFormat/>
    <w:rsid w:val="00773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7B4"/>
    <w:rPr>
      <w:i/>
      <w:iCs/>
      <w:color w:val="0F4761" w:themeColor="accent1" w:themeShade="BF"/>
    </w:rPr>
  </w:style>
  <w:style w:type="character" w:styleId="IntenseReference">
    <w:name w:val="Intense Reference"/>
    <w:basedOn w:val="DefaultParagraphFont"/>
    <w:uiPriority w:val="32"/>
    <w:qFormat/>
    <w:rsid w:val="007737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479914">
      <w:bodyDiv w:val="1"/>
      <w:marLeft w:val="0"/>
      <w:marRight w:val="0"/>
      <w:marTop w:val="0"/>
      <w:marBottom w:val="0"/>
      <w:divBdr>
        <w:top w:val="none" w:sz="0" w:space="0" w:color="auto"/>
        <w:left w:val="none" w:sz="0" w:space="0" w:color="auto"/>
        <w:bottom w:val="none" w:sz="0" w:space="0" w:color="auto"/>
        <w:right w:val="none" w:sz="0" w:space="0" w:color="auto"/>
      </w:divBdr>
    </w:div>
    <w:div w:id="1750809864">
      <w:bodyDiv w:val="1"/>
      <w:marLeft w:val="0"/>
      <w:marRight w:val="0"/>
      <w:marTop w:val="0"/>
      <w:marBottom w:val="0"/>
      <w:divBdr>
        <w:top w:val="none" w:sz="0" w:space="0" w:color="auto"/>
        <w:left w:val="none" w:sz="0" w:space="0" w:color="auto"/>
        <w:bottom w:val="none" w:sz="0" w:space="0" w:color="auto"/>
        <w:right w:val="none" w:sz="0" w:space="0" w:color="auto"/>
      </w:divBdr>
    </w:div>
    <w:div w:id="1846048034">
      <w:bodyDiv w:val="1"/>
      <w:marLeft w:val="0"/>
      <w:marRight w:val="0"/>
      <w:marTop w:val="0"/>
      <w:marBottom w:val="0"/>
      <w:divBdr>
        <w:top w:val="none" w:sz="0" w:space="0" w:color="auto"/>
        <w:left w:val="none" w:sz="0" w:space="0" w:color="auto"/>
        <w:bottom w:val="none" w:sz="0" w:space="0" w:color="auto"/>
        <w:right w:val="none" w:sz="0" w:space="0" w:color="auto"/>
      </w:divBdr>
    </w:div>
    <w:div w:id="186420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900</Words>
  <Characters>5133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Barnes</dc:creator>
  <cp:keywords/>
  <dc:description/>
  <cp:lastModifiedBy>Suzanne Barnes</cp:lastModifiedBy>
  <cp:revision>4</cp:revision>
  <dcterms:created xsi:type="dcterms:W3CDTF">2026-08-06T11:58:00Z</dcterms:created>
  <dcterms:modified xsi:type="dcterms:W3CDTF">2026-08-06T12:08:00Z</dcterms:modified>
</cp:coreProperties>
</file>